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2023年11月10日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2023年11月16日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2023-11-28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2023-12-07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国立人类基因组研究所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参加2023年11⽉29-12⽉5⽇在美国国⽴卫⽣研究/国立人类基因组研究所院举⾏的“The Conference on Autoinflammatory Diseases”，并开展学术合作交流。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2023年11⽉28⽇，离开杭州到上海，11⽉29⽇上海浦东NH968到东京，转NH102到华盛顿。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2023年11⽉29⽇⾄2023年12⽉5⽇在马⾥兰州美国国⽴卫⽣研究院/国⽴⼈类基因组研究所参加“⾃⾝炎症性疾病会议”，并开展学术合作交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流。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2023年12⽉5⽇，离开华盛顿，NH101到东京，2023年12⽉7⽇NH967到上海。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2023年12⽉7⽇返回杭州。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